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rutnt"/>
        <w:tblW w:w="9131" w:type="dxa"/>
        <w:tblLook w:val="04A0" w:firstRow="1" w:lastRow="0" w:firstColumn="1" w:lastColumn="0" w:noHBand="0" w:noVBand="1"/>
      </w:tblPr>
      <w:tblGrid>
        <w:gridCol w:w="4852"/>
        <w:gridCol w:w="4279"/>
      </w:tblGrid>
      <w:tr w:rsidR="00A05EE4" w14:paraId="4D842BD2" w14:textId="77777777" w:rsidTr="001E1510">
        <w:trPr>
          <w:cnfStyle w:val="100000000000" w:firstRow="1" w:lastRow="0" w:firstColumn="0" w:lastColumn="0" w:oddVBand="0" w:evenVBand="0" w:oddHBand="0" w:evenHBand="0" w:firstRowFirstColumn="0" w:firstRowLastColumn="0" w:lastRowFirstColumn="0" w:lastRowLastColumn="0"/>
          <w:trHeight w:val="995"/>
        </w:trPr>
        <w:tc>
          <w:tcPr>
            <w:tcW w:w="4852" w:type="dxa"/>
          </w:tcPr>
          <w:p w14:paraId="059CB65D" w14:textId="26C8A893" w:rsidR="00A05EE4" w:rsidRPr="00FC5319" w:rsidRDefault="00A05EE4" w:rsidP="00A05EE4">
            <w:pPr>
              <w:rPr>
                <w:sz w:val="20"/>
                <w:szCs w:val="20"/>
              </w:rPr>
            </w:pPr>
            <w:r w:rsidRPr="00FC5319">
              <w:rPr>
                <w:b w:val="0"/>
                <w:sz w:val="20"/>
                <w:szCs w:val="20"/>
              </w:rPr>
              <w:t xml:space="preserve">Vid </w:t>
            </w:r>
            <w:r w:rsidR="00EA1906">
              <w:rPr>
                <w:b w:val="0"/>
                <w:sz w:val="20"/>
                <w:szCs w:val="20"/>
              </w:rPr>
              <w:t>antagande</w:t>
            </w:r>
            <w:r w:rsidRPr="00FC5319">
              <w:rPr>
                <w:b w:val="0"/>
                <w:sz w:val="20"/>
                <w:szCs w:val="20"/>
              </w:rPr>
              <w:t xml:space="preserve"> om felaktig utbetalning från annan myndighet skall underrättelse ske enligt </w:t>
            </w:r>
            <w:r w:rsidR="00817B88">
              <w:rPr>
                <w:b w:val="0"/>
                <w:sz w:val="20"/>
                <w:szCs w:val="20"/>
              </w:rPr>
              <w:t>L</w:t>
            </w:r>
            <w:r w:rsidRPr="00FC5319">
              <w:rPr>
                <w:b w:val="0"/>
                <w:sz w:val="20"/>
                <w:szCs w:val="20"/>
              </w:rPr>
              <w:t>agen om underrättelseskyldighet vid felaktiga utbetalningar från välfärdssystemet</w:t>
            </w:r>
            <w:r w:rsidR="00817B88">
              <w:rPr>
                <w:b w:val="0"/>
                <w:sz w:val="20"/>
                <w:szCs w:val="20"/>
              </w:rPr>
              <w:t xml:space="preserve"> </w:t>
            </w:r>
            <w:r w:rsidR="00817B88" w:rsidRPr="00FC5319">
              <w:rPr>
                <w:b w:val="0"/>
                <w:sz w:val="20"/>
                <w:szCs w:val="20"/>
              </w:rPr>
              <w:t>(2008:206)</w:t>
            </w:r>
            <w:r w:rsidRPr="00FC5319">
              <w:rPr>
                <w:b w:val="0"/>
                <w:sz w:val="20"/>
                <w:szCs w:val="20"/>
              </w:rPr>
              <w:t>. Underrättelsen sker till myndigheten som fattat beslutet om förmånen. Vid underrättelse kan denna blankett användas.</w:t>
            </w:r>
          </w:p>
        </w:tc>
        <w:tc>
          <w:tcPr>
            <w:tcW w:w="4279" w:type="dxa"/>
            <w:shd w:val="clear" w:color="auto" w:fill="FFFFFF" w:themeFill="background1"/>
          </w:tcPr>
          <w:p w14:paraId="7DE34C81" w14:textId="1D6BDFF9" w:rsidR="00A05EE4" w:rsidRDefault="00452CD4">
            <w:pPr>
              <w:rPr>
                <w:b w:val="0"/>
              </w:rPr>
            </w:pPr>
            <w:r>
              <w:t>Berörd Myndighet</w:t>
            </w:r>
            <w:r w:rsidR="00A05EE4">
              <w:t>:</w:t>
            </w:r>
          </w:p>
          <w:p w14:paraId="1C49D2FF" w14:textId="77777777" w:rsidR="00A05EE4" w:rsidRDefault="00A05EE4">
            <w:pPr>
              <w:rPr>
                <w:b w:val="0"/>
              </w:rPr>
            </w:pPr>
          </w:p>
          <w:p w14:paraId="73A47C28" w14:textId="77777777" w:rsidR="00A05EE4" w:rsidRDefault="00A05EE4">
            <w:pPr>
              <w:rPr>
                <w:b w:val="0"/>
              </w:rPr>
            </w:pPr>
          </w:p>
          <w:p w14:paraId="680CC8E7" w14:textId="083BF455" w:rsidR="00A05EE4" w:rsidRDefault="00A05EE4"/>
        </w:tc>
      </w:tr>
    </w:tbl>
    <w:p w14:paraId="7D08158B" w14:textId="22666E11" w:rsidR="00A05EE4" w:rsidRDefault="00A05EE4"/>
    <w:p w14:paraId="2B94D3D0" w14:textId="078E8CEF" w:rsidR="00A05EE4" w:rsidRDefault="00A05EE4"/>
    <w:tbl>
      <w:tblPr>
        <w:tblStyle w:val="Tabellrutnt"/>
        <w:tblW w:w="0" w:type="auto"/>
        <w:tblLook w:val="04A0" w:firstRow="1" w:lastRow="0" w:firstColumn="1" w:lastColumn="0" w:noHBand="0" w:noVBand="1"/>
      </w:tblPr>
      <w:tblGrid>
        <w:gridCol w:w="9062"/>
      </w:tblGrid>
      <w:tr w:rsidR="002112A4" w14:paraId="6B7972CF" w14:textId="77777777" w:rsidTr="00DA5F28">
        <w:trPr>
          <w:cnfStyle w:val="100000000000" w:firstRow="1" w:lastRow="0" w:firstColumn="0" w:lastColumn="0" w:oddVBand="0" w:evenVBand="0" w:oddHBand="0" w:evenHBand="0" w:firstRowFirstColumn="0" w:firstRowLastColumn="0" w:lastRowFirstColumn="0" w:lastRowLastColumn="0"/>
        </w:trPr>
        <w:tc>
          <w:tcPr>
            <w:tcW w:w="9062" w:type="dxa"/>
          </w:tcPr>
          <w:p w14:paraId="710BC45F" w14:textId="1DC0AA06" w:rsidR="002112A4" w:rsidRDefault="002112A4">
            <w:r>
              <w:t xml:space="preserve">Ange uppgifter om den </w:t>
            </w:r>
            <w:r w:rsidR="001537AA">
              <w:t>antagandet</w:t>
            </w:r>
            <w:r>
              <w:t xml:space="preserve"> gäller</w:t>
            </w:r>
          </w:p>
        </w:tc>
      </w:tr>
      <w:tr w:rsidR="002112A4" w14:paraId="1512769E" w14:textId="77777777" w:rsidTr="00175A3B">
        <w:tc>
          <w:tcPr>
            <w:tcW w:w="9062" w:type="dxa"/>
          </w:tcPr>
          <w:p w14:paraId="60EE73AF" w14:textId="77777777" w:rsidR="002112A4" w:rsidRPr="00E6640B" w:rsidRDefault="002112A4">
            <w:pPr>
              <w:rPr>
                <w:b/>
                <w:bCs/>
              </w:rPr>
            </w:pPr>
            <w:r w:rsidRPr="00E6640B">
              <w:rPr>
                <w:b/>
                <w:bCs/>
                <w:sz w:val="20"/>
                <w:szCs w:val="20"/>
              </w:rPr>
              <w:t>För- och efternamn</w:t>
            </w:r>
          </w:p>
          <w:p w14:paraId="1BA49C72" w14:textId="15653F45" w:rsidR="002112A4" w:rsidRDefault="002112A4"/>
        </w:tc>
      </w:tr>
      <w:tr w:rsidR="00E6640B" w14:paraId="0BFC026D" w14:textId="77777777" w:rsidTr="00335D7F">
        <w:tc>
          <w:tcPr>
            <w:tcW w:w="9062" w:type="dxa"/>
          </w:tcPr>
          <w:p w14:paraId="5B7125D7" w14:textId="77777777" w:rsidR="00E6640B" w:rsidRPr="00E6640B" w:rsidRDefault="00E6640B">
            <w:pPr>
              <w:rPr>
                <w:b/>
                <w:bCs/>
              </w:rPr>
            </w:pPr>
            <w:r w:rsidRPr="00E6640B">
              <w:rPr>
                <w:b/>
                <w:bCs/>
                <w:sz w:val="20"/>
                <w:szCs w:val="20"/>
              </w:rPr>
              <w:t>Personnummer</w:t>
            </w:r>
          </w:p>
          <w:p w14:paraId="5D2FC095" w14:textId="4E3C339C" w:rsidR="00E6640B" w:rsidRDefault="00E6640B"/>
        </w:tc>
      </w:tr>
      <w:tr w:rsidR="00E6640B" w14:paraId="63F6BD0E" w14:textId="77777777" w:rsidTr="00CD7B7D">
        <w:tc>
          <w:tcPr>
            <w:tcW w:w="9062" w:type="dxa"/>
            <w:tcBorders>
              <w:bottom w:val="single" w:sz="4" w:space="0" w:color="auto"/>
            </w:tcBorders>
          </w:tcPr>
          <w:p w14:paraId="1103104A" w14:textId="4736A5E0" w:rsidR="00E6640B" w:rsidRPr="00793D0A" w:rsidRDefault="00E6640B" w:rsidP="00A05EE4">
            <w:pPr>
              <w:shd w:val="clear" w:color="auto" w:fill="FFFFFF" w:themeFill="background1"/>
              <w:rPr>
                <w:b/>
                <w:bCs/>
                <w:sz w:val="20"/>
                <w:szCs w:val="20"/>
              </w:rPr>
            </w:pPr>
            <w:r w:rsidRPr="00793D0A">
              <w:rPr>
                <w:b/>
                <w:bCs/>
                <w:sz w:val="20"/>
                <w:szCs w:val="20"/>
              </w:rPr>
              <w:t>Kortfattad beskrivning av omständigheter som ligger till grund för antagandet om</w:t>
            </w:r>
            <w:r w:rsidR="00831D73">
              <w:rPr>
                <w:b/>
                <w:bCs/>
                <w:sz w:val="20"/>
                <w:szCs w:val="20"/>
              </w:rPr>
              <w:t xml:space="preserve"> </w:t>
            </w:r>
            <w:r w:rsidRPr="00793D0A">
              <w:rPr>
                <w:b/>
                <w:bCs/>
                <w:sz w:val="20"/>
                <w:szCs w:val="20"/>
              </w:rPr>
              <w:t>stöd</w:t>
            </w:r>
            <w:r w:rsidR="00831D73">
              <w:rPr>
                <w:b/>
                <w:bCs/>
                <w:sz w:val="20"/>
                <w:szCs w:val="20"/>
              </w:rPr>
              <w:t xml:space="preserve"> beslutats,</w:t>
            </w:r>
            <w:r w:rsidRPr="00793D0A">
              <w:rPr>
                <w:b/>
                <w:bCs/>
                <w:sz w:val="20"/>
                <w:szCs w:val="20"/>
              </w:rPr>
              <w:t xml:space="preserve"> utbetalats eller tillgodoräknats felaktigt eller med för högt belopp</w:t>
            </w:r>
            <w:r w:rsidR="00793D0A" w:rsidRPr="00793D0A">
              <w:rPr>
                <w:b/>
                <w:bCs/>
                <w:sz w:val="20"/>
                <w:szCs w:val="20"/>
              </w:rPr>
              <w:t>:</w:t>
            </w:r>
          </w:p>
          <w:p w14:paraId="3D94ADD7" w14:textId="77777777" w:rsidR="00E6640B" w:rsidRDefault="00E6640B" w:rsidP="00A05EE4">
            <w:pPr>
              <w:shd w:val="clear" w:color="auto" w:fill="FFFFFF" w:themeFill="background1"/>
            </w:pPr>
          </w:p>
          <w:p w14:paraId="0BDDEB79" w14:textId="77777777" w:rsidR="00E6640B" w:rsidRDefault="00E6640B" w:rsidP="00A05EE4">
            <w:pPr>
              <w:shd w:val="clear" w:color="auto" w:fill="FFFFFF" w:themeFill="background1"/>
            </w:pPr>
          </w:p>
          <w:p w14:paraId="5B9F36AE" w14:textId="77777777" w:rsidR="00E6640B" w:rsidRDefault="00E6640B" w:rsidP="00A05EE4">
            <w:pPr>
              <w:shd w:val="clear" w:color="auto" w:fill="FFFFFF" w:themeFill="background1"/>
            </w:pPr>
          </w:p>
          <w:p w14:paraId="0601941F" w14:textId="77777777" w:rsidR="00E6640B" w:rsidRDefault="00E6640B" w:rsidP="00A05EE4">
            <w:pPr>
              <w:shd w:val="clear" w:color="auto" w:fill="FFFFFF" w:themeFill="background1"/>
            </w:pPr>
          </w:p>
          <w:p w14:paraId="524609E7" w14:textId="77777777" w:rsidR="00E6640B" w:rsidRDefault="00E6640B" w:rsidP="00A05EE4">
            <w:pPr>
              <w:shd w:val="clear" w:color="auto" w:fill="FFFFFF" w:themeFill="background1"/>
            </w:pPr>
          </w:p>
        </w:tc>
      </w:tr>
      <w:tr w:rsidR="00A05EE4" w14:paraId="092EF14D" w14:textId="77777777" w:rsidTr="00353D98">
        <w:tc>
          <w:tcPr>
            <w:tcW w:w="9062" w:type="dxa"/>
            <w:shd w:val="clear" w:color="auto" w:fill="D9D9D9" w:themeFill="background1" w:themeFillShade="D9"/>
          </w:tcPr>
          <w:p w14:paraId="59075404" w14:textId="1E501B82" w:rsidR="00A05EE4" w:rsidRPr="00A05EE4" w:rsidRDefault="00A05EE4" w:rsidP="00353D98">
            <w:pPr>
              <w:shd w:val="clear" w:color="auto" w:fill="D9D9D9" w:themeFill="background1" w:themeFillShade="D9"/>
              <w:rPr>
                <w:b/>
                <w:bCs/>
              </w:rPr>
            </w:pPr>
            <w:r w:rsidRPr="00A05EE4">
              <w:rPr>
                <w:b/>
                <w:bCs/>
              </w:rPr>
              <w:t>Kontaktuppgifter till förvaltning som lämnat underrättelsen</w:t>
            </w:r>
          </w:p>
        </w:tc>
      </w:tr>
      <w:tr w:rsidR="00A05EE4" w14:paraId="3DE65566" w14:textId="77777777" w:rsidTr="00822705">
        <w:trPr>
          <w:trHeight w:val="684"/>
        </w:trPr>
        <w:tc>
          <w:tcPr>
            <w:tcW w:w="9062" w:type="dxa"/>
            <w:shd w:val="clear" w:color="auto" w:fill="FFFFFF" w:themeFill="background1"/>
          </w:tcPr>
          <w:p w14:paraId="407AB108" w14:textId="7B1115D6" w:rsidR="00A05EE4" w:rsidRPr="00AB1AAF" w:rsidRDefault="00AB1AAF" w:rsidP="00AB1AAF">
            <w:pPr>
              <w:spacing w:after="0"/>
              <w:rPr>
                <w:b/>
                <w:bCs/>
                <w:sz w:val="20"/>
                <w:szCs w:val="20"/>
              </w:rPr>
            </w:pPr>
            <w:r w:rsidRPr="00AB1AAF">
              <w:rPr>
                <w:b/>
                <w:bCs/>
                <w:sz w:val="20"/>
                <w:szCs w:val="20"/>
              </w:rPr>
              <w:t>Datum:</w:t>
            </w:r>
          </w:p>
        </w:tc>
      </w:tr>
      <w:tr w:rsidR="00AB1AAF" w14:paraId="08AB72E5" w14:textId="77777777" w:rsidTr="00822705">
        <w:trPr>
          <w:trHeight w:val="684"/>
        </w:trPr>
        <w:tc>
          <w:tcPr>
            <w:tcW w:w="9062" w:type="dxa"/>
            <w:shd w:val="clear" w:color="auto" w:fill="FFFFFF" w:themeFill="background1"/>
          </w:tcPr>
          <w:p w14:paraId="61F01F8F" w14:textId="77777777" w:rsidR="00AB1AAF" w:rsidRPr="00353D98" w:rsidRDefault="00AB1AAF" w:rsidP="00AB1AAF">
            <w:pPr>
              <w:spacing w:after="0" w:afterAutospacing="0"/>
              <w:rPr>
                <w:b/>
                <w:bCs/>
                <w:sz w:val="20"/>
                <w:szCs w:val="20"/>
              </w:rPr>
            </w:pPr>
            <w:r w:rsidRPr="00353D98">
              <w:rPr>
                <w:b/>
                <w:bCs/>
                <w:sz w:val="20"/>
                <w:szCs w:val="20"/>
              </w:rPr>
              <w:t xml:space="preserve">Förvaltning:         </w:t>
            </w:r>
          </w:p>
          <w:p w14:paraId="1AFD762E" w14:textId="77777777" w:rsidR="00AB1AAF" w:rsidRPr="00353D98" w:rsidRDefault="00AB1AAF" w:rsidP="00A05EE4">
            <w:pPr>
              <w:spacing w:after="0"/>
              <w:rPr>
                <w:b/>
                <w:bCs/>
                <w:sz w:val="20"/>
                <w:szCs w:val="20"/>
              </w:rPr>
            </w:pPr>
          </w:p>
        </w:tc>
      </w:tr>
      <w:tr w:rsidR="00822705" w14:paraId="6F767FF7" w14:textId="77777777" w:rsidTr="00A05EE4">
        <w:trPr>
          <w:trHeight w:val="683"/>
        </w:trPr>
        <w:tc>
          <w:tcPr>
            <w:tcW w:w="9062" w:type="dxa"/>
            <w:shd w:val="clear" w:color="auto" w:fill="FFFFFF" w:themeFill="background1"/>
          </w:tcPr>
          <w:p w14:paraId="2D403D16" w14:textId="6FC2F093" w:rsidR="00822705" w:rsidRPr="00353D98" w:rsidRDefault="00822705" w:rsidP="00822705">
            <w:pPr>
              <w:spacing w:after="0" w:afterAutospacing="0"/>
              <w:rPr>
                <w:b/>
                <w:bCs/>
                <w:sz w:val="20"/>
                <w:szCs w:val="20"/>
              </w:rPr>
            </w:pPr>
            <w:r w:rsidRPr="00353D98">
              <w:rPr>
                <w:b/>
                <w:bCs/>
                <w:sz w:val="20"/>
                <w:szCs w:val="20"/>
              </w:rPr>
              <w:t>Ansvarig chef</w:t>
            </w:r>
            <w:r w:rsidR="0049263B" w:rsidRPr="00353D98">
              <w:rPr>
                <w:b/>
                <w:bCs/>
                <w:sz w:val="20"/>
                <w:szCs w:val="20"/>
              </w:rPr>
              <w:t>:</w:t>
            </w:r>
            <w:r w:rsidRPr="00353D98">
              <w:rPr>
                <w:b/>
                <w:bCs/>
                <w:sz w:val="20"/>
                <w:szCs w:val="20"/>
              </w:rPr>
              <w:t xml:space="preserve">      </w:t>
            </w:r>
          </w:p>
          <w:p w14:paraId="58527C46" w14:textId="3A6900A4" w:rsidR="00822705" w:rsidRDefault="00822705" w:rsidP="00353D98">
            <w:pPr>
              <w:tabs>
                <w:tab w:val="left" w:pos="5795"/>
              </w:tabs>
              <w:spacing w:after="0" w:afterAutospacing="0"/>
            </w:pPr>
            <w:r w:rsidRPr="00353D98">
              <w:rPr>
                <w:b/>
                <w:bCs/>
                <w:sz w:val="20"/>
                <w:szCs w:val="20"/>
              </w:rPr>
              <w:t>kontaktuppgifter:</w:t>
            </w:r>
          </w:p>
        </w:tc>
      </w:tr>
      <w:tr w:rsidR="00822705" w14:paraId="25E5DB40" w14:textId="77777777" w:rsidTr="00A05EE4">
        <w:trPr>
          <w:trHeight w:val="683"/>
        </w:trPr>
        <w:tc>
          <w:tcPr>
            <w:tcW w:w="9062" w:type="dxa"/>
            <w:shd w:val="clear" w:color="auto" w:fill="FFFFFF" w:themeFill="background1"/>
          </w:tcPr>
          <w:p w14:paraId="73564BB5" w14:textId="77777777" w:rsidR="0049263B" w:rsidRPr="00DE17D5" w:rsidRDefault="0049263B" w:rsidP="0049263B">
            <w:pPr>
              <w:tabs>
                <w:tab w:val="left" w:pos="5795"/>
              </w:tabs>
              <w:spacing w:after="0" w:afterAutospacing="0"/>
              <w:rPr>
                <w:b/>
                <w:bCs/>
                <w:sz w:val="20"/>
                <w:szCs w:val="20"/>
              </w:rPr>
            </w:pPr>
            <w:r w:rsidRPr="00DE17D5">
              <w:rPr>
                <w:b/>
                <w:bCs/>
                <w:sz w:val="20"/>
                <w:szCs w:val="20"/>
              </w:rPr>
              <w:t xml:space="preserve">Handläggare:       </w:t>
            </w:r>
          </w:p>
          <w:p w14:paraId="50A34F12" w14:textId="77777777" w:rsidR="0049263B" w:rsidRPr="00DE17D5" w:rsidRDefault="0049263B" w:rsidP="0049263B">
            <w:pPr>
              <w:tabs>
                <w:tab w:val="left" w:pos="5795"/>
              </w:tabs>
              <w:spacing w:after="0" w:afterAutospacing="0"/>
              <w:rPr>
                <w:b/>
                <w:bCs/>
                <w:sz w:val="20"/>
                <w:szCs w:val="20"/>
              </w:rPr>
            </w:pPr>
            <w:r w:rsidRPr="00DE17D5">
              <w:rPr>
                <w:b/>
                <w:bCs/>
                <w:sz w:val="20"/>
                <w:szCs w:val="20"/>
              </w:rPr>
              <w:t>Kontaktuppgifter:</w:t>
            </w:r>
          </w:p>
          <w:p w14:paraId="30180E35" w14:textId="77777777" w:rsidR="00822705" w:rsidRDefault="00822705" w:rsidP="00A05EE4">
            <w:pPr>
              <w:spacing w:after="0"/>
            </w:pPr>
          </w:p>
        </w:tc>
      </w:tr>
    </w:tbl>
    <w:p w14:paraId="02C17369" w14:textId="1D2FC889" w:rsidR="00A05EE4" w:rsidRDefault="00A05EE4" w:rsidP="00A05EE4">
      <w:pPr>
        <w:shd w:val="clear" w:color="auto" w:fill="FFFFFF" w:themeFill="background1"/>
      </w:pPr>
    </w:p>
    <w:p w14:paraId="4D2CE771" w14:textId="03D0B797" w:rsidR="00A05EE4" w:rsidRDefault="00A05EE4" w:rsidP="00A05EE4">
      <w:pPr>
        <w:shd w:val="clear" w:color="auto" w:fill="FFFFFF" w:themeFill="background1"/>
      </w:pPr>
    </w:p>
    <w:p w14:paraId="791FD938" w14:textId="55DD307B" w:rsidR="00A05EE4" w:rsidRDefault="00A05EE4" w:rsidP="00A05EE4">
      <w:pPr>
        <w:shd w:val="clear" w:color="auto" w:fill="FFFFFF" w:themeFill="background1"/>
      </w:pPr>
    </w:p>
    <w:tbl>
      <w:tblPr>
        <w:tblStyle w:val="Tabellrutnt"/>
        <w:tblW w:w="0" w:type="auto"/>
        <w:tblLook w:val="04A0" w:firstRow="1" w:lastRow="0" w:firstColumn="1" w:lastColumn="0" w:noHBand="0" w:noVBand="1"/>
      </w:tblPr>
      <w:tblGrid>
        <w:gridCol w:w="9062"/>
      </w:tblGrid>
      <w:tr w:rsidR="00A05EE4" w14:paraId="382A72C1" w14:textId="77777777" w:rsidTr="00A05EE4">
        <w:trPr>
          <w:cnfStyle w:val="100000000000" w:firstRow="1" w:lastRow="0" w:firstColumn="0" w:lastColumn="0" w:oddVBand="0" w:evenVBand="0" w:oddHBand="0" w:evenHBand="0" w:firstRowFirstColumn="0" w:firstRowLastColumn="0" w:lastRowFirstColumn="0" w:lastRowLastColumn="0"/>
        </w:trPr>
        <w:tc>
          <w:tcPr>
            <w:tcW w:w="9062" w:type="dxa"/>
            <w:shd w:val="clear" w:color="auto" w:fill="FFFFFF" w:themeFill="background1"/>
          </w:tcPr>
          <w:p w14:paraId="0725709C" w14:textId="77777777" w:rsidR="00A05EE4" w:rsidRPr="00A05EE4" w:rsidRDefault="00A05EE4" w:rsidP="00A05EE4">
            <w:pPr>
              <w:pStyle w:val="Rubrik1"/>
              <w:shd w:val="clear" w:color="auto" w:fill="FFFFFF"/>
              <w:spacing w:before="0" w:after="225"/>
              <w:outlineLvl w:val="0"/>
              <w:rPr>
                <w:rFonts w:ascii="Times New Roman" w:hAnsi="Times New Roman" w:cs="Times New Roman"/>
                <w:b/>
                <w:bCs/>
                <w:color w:val="333333"/>
                <w:sz w:val="22"/>
                <w:szCs w:val="22"/>
              </w:rPr>
            </w:pPr>
            <w:bookmarkStart w:id="0" w:name="P2"/>
            <w:r w:rsidRPr="00A05EE4">
              <w:rPr>
                <w:rFonts w:ascii="Times New Roman" w:hAnsi="Times New Roman" w:cs="Times New Roman"/>
                <w:b/>
                <w:bCs/>
                <w:color w:val="333333"/>
                <w:sz w:val="22"/>
                <w:szCs w:val="22"/>
              </w:rPr>
              <w:lastRenderedPageBreak/>
              <w:t>Lag (2008:206) om underrättelseskyldighet vid felaktiga utbetalningar från välfärdssystemen</w:t>
            </w:r>
          </w:p>
          <w:p w14:paraId="425DC62C" w14:textId="77777777" w:rsidR="00A05EE4" w:rsidRPr="00A05EE4" w:rsidRDefault="00A05EE4" w:rsidP="00A05EE4">
            <w:pPr>
              <w:rPr>
                <w:rFonts w:ascii="Times New Roman" w:hAnsi="Times New Roman" w:cs="Times New Roman"/>
                <w:b w:val="0"/>
                <w:sz w:val="20"/>
                <w:szCs w:val="20"/>
              </w:rPr>
            </w:pPr>
            <w:bookmarkStart w:id="1" w:name="P1"/>
            <w:r w:rsidRPr="00A05EE4">
              <w:rPr>
                <w:rFonts w:ascii="Times New Roman" w:hAnsi="Times New Roman" w:cs="Times New Roman"/>
                <w:b w:val="0"/>
                <w:color w:val="333333"/>
                <w:sz w:val="20"/>
                <w:szCs w:val="20"/>
                <w:shd w:val="clear" w:color="auto" w:fill="FFFFFF"/>
              </w:rPr>
              <w:t>1 §</w:t>
            </w:r>
            <w:bookmarkEnd w:id="1"/>
            <w:r w:rsidRPr="00A05EE4">
              <w:rPr>
                <w:rFonts w:ascii="Times New Roman" w:hAnsi="Times New Roman" w:cs="Times New Roman"/>
                <w:b w:val="0"/>
                <w:color w:val="000000"/>
                <w:sz w:val="20"/>
                <w:szCs w:val="20"/>
                <w:shd w:val="clear" w:color="auto" w:fill="FFFFFF"/>
              </w:rPr>
              <w:t>   Denna lag gäller sådana bidrag, ersättningar, pensioner och lån för personligt ändamål som enligt lag eller förordning beslutas av Migrationsverket, Försäkringskassan, Pensionsmyndigheten, Centrala studiestödsnämnden, Arbetsförmedlingen, en kommun eller en arbetslöshetskassa och betalas ut till en enskild person (ekonomisk förmån).</w:t>
            </w:r>
          </w:p>
          <w:p w14:paraId="228853FD" w14:textId="77777777" w:rsidR="00A05EE4" w:rsidRPr="00A05EE4" w:rsidRDefault="00A05EE4" w:rsidP="00A05EE4">
            <w:pPr>
              <w:rPr>
                <w:rFonts w:ascii="Times New Roman" w:hAnsi="Times New Roman" w:cs="Times New Roman"/>
                <w:b w:val="0"/>
                <w:color w:val="333333"/>
                <w:sz w:val="20"/>
                <w:szCs w:val="20"/>
                <w:shd w:val="clear" w:color="auto" w:fill="FFFFFF"/>
              </w:rPr>
            </w:pPr>
            <w:r w:rsidRPr="00A05EE4">
              <w:rPr>
                <w:rFonts w:ascii="Times New Roman" w:hAnsi="Times New Roman" w:cs="Times New Roman"/>
                <w:b w:val="0"/>
                <w:color w:val="000000"/>
                <w:sz w:val="20"/>
                <w:szCs w:val="20"/>
                <w:shd w:val="clear" w:color="auto" w:fill="FFFFFF"/>
              </w:rPr>
              <w:t>Denna lag gäller även sådana stöd, bidrag och ersättningar som enligt lag eller förordning beslutas av Försäkringskassan, Arbetsförmedlingen eller en kommun och avser en enskild person, men betalas ut till eller tillgodoräknas någon annan än den enskilde (ekonomiskt stöd). </w:t>
            </w:r>
            <w:r w:rsidRPr="00A05EE4">
              <w:rPr>
                <w:rFonts w:ascii="Times New Roman" w:hAnsi="Times New Roman" w:cs="Times New Roman"/>
                <w:b w:val="0"/>
                <w:i/>
                <w:iCs/>
                <w:color w:val="000000"/>
                <w:sz w:val="20"/>
                <w:szCs w:val="20"/>
                <w:shd w:val="clear" w:color="auto" w:fill="FFFFFF"/>
              </w:rPr>
              <w:t>Lag (2019:653)</w:t>
            </w:r>
          </w:p>
          <w:p w14:paraId="630AC7C1" w14:textId="77777777" w:rsidR="00A05EE4" w:rsidRPr="00A05EE4" w:rsidRDefault="00A05EE4" w:rsidP="00A05EE4">
            <w:pPr>
              <w:rPr>
                <w:rFonts w:ascii="Times New Roman" w:hAnsi="Times New Roman" w:cs="Times New Roman"/>
                <w:b w:val="0"/>
                <w:color w:val="000000"/>
                <w:sz w:val="20"/>
                <w:szCs w:val="20"/>
                <w:shd w:val="clear" w:color="auto" w:fill="FFFFFF"/>
              </w:rPr>
            </w:pPr>
            <w:r w:rsidRPr="00A05EE4">
              <w:rPr>
                <w:rFonts w:ascii="Times New Roman" w:hAnsi="Times New Roman" w:cs="Times New Roman"/>
                <w:b w:val="0"/>
                <w:color w:val="333333"/>
                <w:sz w:val="20"/>
                <w:szCs w:val="20"/>
                <w:shd w:val="clear" w:color="auto" w:fill="FFFFFF"/>
              </w:rPr>
              <w:t>2 §</w:t>
            </w:r>
            <w:bookmarkEnd w:id="0"/>
            <w:r w:rsidRPr="00A05EE4">
              <w:rPr>
                <w:rFonts w:ascii="Times New Roman" w:hAnsi="Times New Roman" w:cs="Times New Roman"/>
                <w:b w:val="0"/>
                <w:color w:val="000000"/>
                <w:sz w:val="20"/>
                <w:szCs w:val="20"/>
                <w:shd w:val="clear" w:color="auto" w:fill="FFFFFF"/>
              </w:rPr>
              <w:t> Underrättelseskyldighet enligt lagen gäller för Migrationsverket, Försäkringskassan, Pensionsmyndigheten, Skatteverket, Kronofogdemyndigheten, Centrala studiestödsnämnden, Arbetsförmedlingen, kommunerna och arbetslöshetskassorna.</w:t>
            </w:r>
          </w:p>
          <w:p w14:paraId="2453A695" w14:textId="3D96E1CB" w:rsidR="00A05EE4" w:rsidRDefault="00A05EE4" w:rsidP="00A05EE4"/>
        </w:tc>
      </w:tr>
    </w:tbl>
    <w:p w14:paraId="2199B155" w14:textId="4D4F6A55" w:rsidR="00A05EE4" w:rsidRDefault="00A05EE4" w:rsidP="00A05EE4">
      <w:pPr>
        <w:shd w:val="clear" w:color="auto" w:fill="FFFFFF" w:themeFill="background1"/>
      </w:pPr>
    </w:p>
    <w:p w14:paraId="7AAF2A19" w14:textId="2CEEFE83" w:rsidR="00A05EE4" w:rsidRDefault="00A05EE4" w:rsidP="00A05EE4">
      <w:pPr>
        <w:shd w:val="clear" w:color="auto" w:fill="FFFFFF" w:themeFill="background1"/>
      </w:pPr>
    </w:p>
    <w:tbl>
      <w:tblPr>
        <w:tblStyle w:val="Tabellrutnt"/>
        <w:tblW w:w="0" w:type="auto"/>
        <w:tblLook w:val="04A0" w:firstRow="1" w:lastRow="0" w:firstColumn="1" w:lastColumn="0" w:noHBand="0" w:noVBand="1"/>
      </w:tblPr>
      <w:tblGrid>
        <w:gridCol w:w="9062"/>
      </w:tblGrid>
      <w:tr w:rsidR="00A05EE4" w14:paraId="3F1F78E8" w14:textId="77777777" w:rsidTr="00A05EE4">
        <w:trPr>
          <w:cnfStyle w:val="100000000000" w:firstRow="1" w:lastRow="0" w:firstColumn="0" w:lastColumn="0" w:oddVBand="0" w:evenVBand="0" w:oddHBand="0" w:evenHBand="0" w:firstRowFirstColumn="0" w:firstRowLastColumn="0" w:lastRowFirstColumn="0" w:lastRowLastColumn="0"/>
        </w:trPr>
        <w:tc>
          <w:tcPr>
            <w:tcW w:w="9062" w:type="dxa"/>
            <w:shd w:val="clear" w:color="auto" w:fill="FFFFFF" w:themeFill="background1"/>
          </w:tcPr>
          <w:p w14:paraId="176F9D35" w14:textId="77777777" w:rsidR="00A05EE4" w:rsidRPr="00FA021C" w:rsidRDefault="00A05EE4" w:rsidP="00A05EE4">
            <w:r w:rsidRPr="008232F6">
              <w:rPr>
                <w:bCs/>
                <w:szCs w:val="22"/>
              </w:rPr>
              <w:t xml:space="preserve">Behandling av personuppgifter </w:t>
            </w:r>
          </w:p>
          <w:p w14:paraId="2FEECB1A" w14:textId="77777777" w:rsidR="00A05EE4" w:rsidRPr="00A05EE4" w:rsidRDefault="00A05EE4" w:rsidP="00A05EE4">
            <w:pPr>
              <w:rPr>
                <w:b w:val="0"/>
                <w:bCs/>
                <w:sz w:val="20"/>
                <w:szCs w:val="20"/>
              </w:rPr>
            </w:pPr>
            <w:r w:rsidRPr="00A05EE4">
              <w:rPr>
                <w:b w:val="0"/>
                <w:bCs/>
                <w:sz w:val="20"/>
                <w:szCs w:val="20"/>
              </w:rPr>
              <w:t xml:space="preserve">Enligt </w:t>
            </w:r>
            <w:r w:rsidRPr="002A6E89">
              <w:rPr>
                <w:sz w:val="20"/>
                <w:szCs w:val="20"/>
              </w:rPr>
              <w:t>artikel 6 dataskyddsförordningen (GDPR)</w:t>
            </w:r>
            <w:r w:rsidRPr="00A05EE4">
              <w:rPr>
                <w:b w:val="0"/>
                <w:bCs/>
                <w:sz w:val="20"/>
                <w:szCs w:val="20"/>
              </w:rPr>
              <w:t xml:space="preserve"> får personuppgifter behandlas om</w:t>
            </w:r>
          </w:p>
          <w:p w14:paraId="76F27DE8" w14:textId="32B4A1C1" w:rsidR="00A05EE4" w:rsidRPr="001F06C0" w:rsidRDefault="00A05EE4" w:rsidP="001F06C0">
            <w:pPr>
              <w:pStyle w:val="Liststycke"/>
              <w:numPr>
                <w:ilvl w:val="0"/>
                <w:numId w:val="2"/>
              </w:numPr>
              <w:rPr>
                <w:b w:val="0"/>
                <w:sz w:val="20"/>
                <w:szCs w:val="20"/>
              </w:rPr>
            </w:pPr>
            <w:r w:rsidRPr="001F06C0">
              <w:rPr>
                <w:b w:val="0"/>
                <w:sz w:val="20"/>
                <w:szCs w:val="20"/>
              </w:rPr>
              <w:t>behandlingen är nödvändig för att fullgöra en rättslig förpliktelse som åvilar den personuppgiftsansvarige samt</w:t>
            </w:r>
          </w:p>
          <w:p w14:paraId="4FD528D6" w14:textId="7445F397" w:rsidR="00A05EE4" w:rsidRPr="001F06C0" w:rsidRDefault="00A05EE4" w:rsidP="001F06C0">
            <w:pPr>
              <w:pStyle w:val="Liststycke"/>
              <w:numPr>
                <w:ilvl w:val="0"/>
                <w:numId w:val="3"/>
              </w:numPr>
              <w:rPr>
                <w:b w:val="0"/>
                <w:sz w:val="20"/>
                <w:szCs w:val="20"/>
              </w:rPr>
            </w:pPr>
            <w:r w:rsidRPr="001F06C0">
              <w:rPr>
                <w:b w:val="0"/>
                <w:sz w:val="20"/>
                <w:szCs w:val="20"/>
              </w:rPr>
              <w:t xml:space="preserve">behandlingen är nödvändig för att utföra en uppgift av allmänt intresse eller som ett led i den personuppgiftsansvariges myndighetsutövning. </w:t>
            </w:r>
          </w:p>
          <w:p w14:paraId="3F8C87D0" w14:textId="0C65104F" w:rsidR="00A05EE4" w:rsidRPr="00A05EE4" w:rsidRDefault="00A05EE4" w:rsidP="00A05EE4">
            <w:pPr>
              <w:rPr>
                <w:b w:val="0"/>
                <w:bCs/>
                <w:sz w:val="20"/>
                <w:szCs w:val="20"/>
              </w:rPr>
            </w:pPr>
            <w:r w:rsidRPr="00A05EE4">
              <w:rPr>
                <w:b w:val="0"/>
                <w:bCs/>
                <w:sz w:val="20"/>
                <w:szCs w:val="20"/>
              </w:rPr>
              <w:t xml:space="preserve">Då kommunen innefattas i </w:t>
            </w:r>
            <w:r w:rsidR="007E2B77">
              <w:rPr>
                <w:b w:val="0"/>
                <w:bCs/>
                <w:sz w:val="20"/>
                <w:szCs w:val="20"/>
              </w:rPr>
              <w:t>2</w:t>
            </w:r>
            <w:r w:rsidRPr="00A05EE4">
              <w:rPr>
                <w:b w:val="0"/>
                <w:bCs/>
                <w:sz w:val="20"/>
                <w:szCs w:val="20"/>
              </w:rPr>
              <w:t xml:space="preserve"> § i underrättelselagen så föreligger en rättslig förpliktelse för förvaltningarna att anmäla misstänkt felaktiga utbetalningar.</w:t>
            </w:r>
          </w:p>
          <w:p w14:paraId="0D4309E3" w14:textId="77777777" w:rsidR="00A05EE4" w:rsidRPr="00A05EE4" w:rsidRDefault="00A05EE4" w:rsidP="00A05EE4">
            <w:pPr>
              <w:rPr>
                <w:b w:val="0"/>
                <w:bCs/>
                <w:sz w:val="20"/>
                <w:szCs w:val="20"/>
              </w:rPr>
            </w:pPr>
            <w:r w:rsidRPr="00A05EE4">
              <w:rPr>
                <w:b w:val="0"/>
                <w:bCs/>
                <w:sz w:val="20"/>
                <w:szCs w:val="20"/>
              </w:rPr>
              <w:t>Begreppet ”allmänt intresse” för myndigheter har tolkats som att allt en myndighet ska göra för att uppfylla sitt uppdrag är att anse som allmänt intresse. Genom att det finns en lagstadgad skyldighet så ingår uppfyllandet av den skyldigheten i uppdraget.</w:t>
            </w:r>
          </w:p>
          <w:p w14:paraId="5DB961CD" w14:textId="77777777" w:rsidR="00AC7332" w:rsidRDefault="00A05EE4" w:rsidP="00A05EE4">
            <w:pPr>
              <w:rPr>
                <w:b w:val="0"/>
                <w:bCs/>
                <w:sz w:val="20"/>
                <w:szCs w:val="20"/>
              </w:rPr>
            </w:pPr>
            <w:r w:rsidRPr="007D7946">
              <w:rPr>
                <w:b w:val="0"/>
                <w:sz w:val="20"/>
                <w:szCs w:val="20"/>
              </w:rPr>
              <w:t>Enligt</w:t>
            </w:r>
            <w:r w:rsidRPr="002A6E89">
              <w:rPr>
                <w:sz w:val="20"/>
                <w:szCs w:val="20"/>
              </w:rPr>
              <w:t xml:space="preserve"> </w:t>
            </w:r>
            <w:r w:rsidRPr="002A6E89">
              <w:rPr>
                <w:bCs/>
                <w:sz w:val="20"/>
                <w:szCs w:val="20"/>
              </w:rPr>
              <w:t>10 § dataskyddslagen (2018:218)</w:t>
            </w:r>
            <w:r w:rsidR="007D7946">
              <w:rPr>
                <w:bCs/>
                <w:sz w:val="20"/>
                <w:szCs w:val="20"/>
              </w:rPr>
              <w:t xml:space="preserve"> </w:t>
            </w:r>
          </w:p>
          <w:p w14:paraId="3742C3F9" w14:textId="39A72EC1" w:rsidR="00A05EE4" w:rsidRPr="00A05EE4" w:rsidRDefault="00A05EE4" w:rsidP="00A05EE4">
            <w:pPr>
              <w:rPr>
                <w:b w:val="0"/>
                <w:bCs/>
                <w:sz w:val="20"/>
                <w:szCs w:val="20"/>
              </w:rPr>
            </w:pPr>
            <w:r w:rsidRPr="00A05EE4">
              <w:rPr>
                <w:b w:val="0"/>
                <w:bCs/>
                <w:sz w:val="20"/>
                <w:szCs w:val="20"/>
              </w:rPr>
              <w:t>får personnummer och samordningsnummer behandlas utan samtycke endast när det är klart motiverat med hänsyn till ändamålet med behandlingen, vikten av en säker identifiering eller något annat beaktansvärt skäl.</w:t>
            </w:r>
          </w:p>
          <w:p w14:paraId="2BFA5F1C" w14:textId="1C7B1358" w:rsidR="00A05EE4" w:rsidRDefault="00A05EE4" w:rsidP="00A05EE4"/>
        </w:tc>
      </w:tr>
    </w:tbl>
    <w:p w14:paraId="67A6C420" w14:textId="77777777" w:rsidR="00A05EE4" w:rsidRDefault="00A05EE4" w:rsidP="00A05EE4">
      <w:pPr>
        <w:shd w:val="clear" w:color="auto" w:fill="FFFFFF" w:themeFill="background1"/>
      </w:pPr>
    </w:p>
    <w:sectPr w:rsidR="00A05EE4" w:rsidSect="00353D9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1426E2" w14:textId="77777777" w:rsidR="00686D1B" w:rsidRDefault="00686D1B" w:rsidP="00A05EE4">
      <w:pPr>
        <w:spacing w:after="0" w:line="240" w:lineRule="auto"/>
      </w:pPr>
      <w:r>
        <w:separator/>
      </w:r>
    </w:p>
  </w:endnote>
  <w:endnote w:type="continuationSeparator" w:id="0">
    <w:p w14:paraId="05AA1FFC" w14:textId="77777777" w:rsidR="00686D1B" w:rsidRDefault="00686D1B" w:rsidP="00A05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E65037" w14:textId="77777777" w:rsidR="00686D1B" w:rsidRDefault="00686D1B" w:rsidP="00A05EE4">
      <w:pPr>
        <w:spacing w:after="0" w:line="240" w:lineRule="auto"/>
      </w:pPr>
      <w:r>
        <w:separator/>
      </w:r>
    </w:p>
  </w:footnote>
  <w:footnote w:type="continuationSeparator" w:id="0">
    <w:p w14:paraId="3FCCDCD6" w14:textId="77777777" w:rsidR="00686D1B" w:rsidRDefault="00686D1B" w:rsidP="00A05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63494" w14:textId="4393A73A" w:rsidR="00BA69A3" w:rsidRDefault="00BA69A3" w:rsidP="00BA69A3">
    <w:pPr>
      <w:pStyle w:val="Sidhuvud"/>
    </w:pPr>
    <w:r>
      <w:tab/>
    </w:r>
    <w:r>
      <w:tab/>
    </w:r>
    <w:r>
      <w:rPr>
        <w:noProof/>
        <w:lang w:eastAsia="sv-SE"/>
      </w:rPr>
      <w:drawing>
        <wp:inline distT="0" distB="0" distL="0" distR="0" wp14:anchorId="128328CD" wp14:editId="4CC0F3F3">
          <wp:extent cx="1441706" cy="481584"/>
          <wp:effectExtent l="0" t="0" r="0" b="0"/>
          <wp:docPr id="2" name="Bildobjekt 1" descr="logo&#10;&#10;Göteborgs Stad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p w14:paraId="218B0020" w14:textId="77777777" w:rsidR="00BA69A3" w:rsidRDefault="00BA69A3">
    <w:pPr>
      <w:pStyle w:val="Sidhuvud"/>
    </w:pPr>
    <w:r>
      <w:tab/>
      <w:t xml:space="preserve">                                                                                                                        </w:t>
    </w:r>
  </w:p>
  <w:p w14:paraId="0ACB7A0F" w14:textId="047FBC98" w:rsidR="00BA69A3" w:rsidRDefault="00BA69A3">
    <w:pPr>
      <w:pStyle w:val="Sidhuvud"/>
    </w:pPr>
    <w:r>
      <w:tab/>
      <w:t xml:space="preserve">                                                                                                                          </w:t>
    </w:r>
    <w:r w:rsidRPr="00BA69A3">
      <w:rPr>
        <w:b/>
        <w:bCs/>
      </w:rPr>
      <w:t>Diarienummer:</w:t>
    </w:r>
  </w:p>
  <w:p w14:paraId="2E8B29FA" w14:textId="77777777" w:rsidR="00A05EE4" w:rsidRDefault="00A05EE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432049"/>
    <w:multiLevelType w:val="hybridMultilevel"/>
    <w:tmpl w:val="73AC0DF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18A2CCD"/>
    <w:multiLevelType w:val="hybridMultilevel"/>
    <w:tmpl w:val="C36EFE8A"/>
    <w:lvl w:ilvl="0" w:tplc="91341FBC">
      <w:start w:val="2021"/>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39619E3"/>
    <w:multiLevelType w:val="hybridMultilevel"/>
    <w:tmpl w:val="8E0C0B88"/>
    <w:lvl w:ilvl="0" w:tplc="91341FBC">
      <w:start w:val="2021"/>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EE4"/>
    <w:rsid w:val="001537AA"/>
    <w:rsid w:val="001B38BB"/>
    <w:rsid w:val="001E1510"/>
    <w:rsid w:val="001F06C0"/>
    <w:rsid w:val="002112A4"/>
    <w:rsid w:val="002117F7"/>
    <w:rsid w:val="002A6E89"/>
    <w:rsid w:val="00353D98"/>
    <w:rsid w:val="003974D1"/>
    <w:rsid w:val="003C3E60"/>
    <w:rsid w:val="00452CD4"/>
    <w:rsid w:val="0049263B"/>
    <w:rsid w:val="004E6F94"/>
    <w:rsid w:val="00567190"/>
    <w:rsid w:val="005958DB"/>
    <w:rsid w:val="00686D1B"/>
    <w:rsid w:val="00793D0A"/>
    <w:rsid w:val="007D7946"/>
    <w:rsid w:val="007E2B77"/>
    <w:rsid w:val="0081453B"/>
    <w:rsid w:val="00817B88"/>
    <w:rsid w:val="00822705"/>
    <w:rsid w:val="00831D73"/>
    <w:rsid w:val="00847619"/>
    <w:rsid w:val="009675E0"/>
    <w:rsid w:val="00A05EE4"/>
    <w:rsid w:val="00AB1AAF"/>
    <w:rsid w:val="00AB38AA"/>
    <w:rsid w:val="00AC7332"/>
    <w:rsid w:val="00BA69A3"/>
    <w:rsid w:val="00BB0D7C"/>
    <w:rsid w:val="00CD7B7D"/>
    <w:rsid w:val="00DC00DF"/>
    <w:rsid w:val="00DD236E"/>
    <w:rsid w:val="00DE17D5"/>
    <w:rsid w:val="00E24DBF"/>
    <w:rsid w:val="00E6640B"/>
    <w:rsid w:val="00EA1906"/>
    <w:rsid w:val="00F15B12"/>
    <w:rsid w:val="00FB0886"/>
    <w:rsid w:val="00FC53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A33264"/>
  <w15:chartTrackingRefBased/>
  <w15:docId w15:val="{A37D8ABE-ABFB-4DAA-8600-48D3EF87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A05EE4"/>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05EE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05EE4"/>
  </w:style>
  <w:style w:type="paragraph" w:styleId="Sidfot">
    <w:name w:val="footer"/>
    <w:basedOn w:val="Normal"/>
    <w:link w:val="SidfotChar"/>
    <w:uiPriority w:val="99"/>
    <w:unhideWhenUsed/>
    <w:rsid w:val="00A05EE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05EE4"/>
  </w:style>
  <w:style w:type="table" w:styleId="Tabellrutnt">
    <w:name w:val="Table Grid"/>
    <w:basedOn w:val="Normaltabell"/>
    <w:uiPriority w:val="39"/>
    <w:rsid w:val="00A05EE4"/>
    <w:pPr>
      <w:spacing w:after="100" w:afterAutospacing="1"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character" w:customStyle="1" w:styleId="Rubrik1Char">
    <w:name w:val="Rubrik 1 Char"/>
    <w:basedOn w:val="Standardstycketeckensnitt"/>
    <w:link w:val="Rubrik1"/>
    <w:uiPriority w:val="9"/>
    <w:rsid w:val="00A05EE4"/>
    <w:rPr>
      <w:rFonts w:asciiTheme="majorHAnsi" w:eastAsiaTheme="majorEastAsia" w:hAnsiTheme="majorHAnsi" w:cstheme="majorBidi"/>
      <w:b/>
      <w:color w:val="262626" w:themeColor="text1" w:themeTint="D9"/>
      <w:sz w:val="36"/>
      <w:szCs w:val="32"/>
    </w:rPr>
  </w:style>
  <w:style w:type="paragraph" w:styleId="Ballongtext">
    <w:name w:val="Balloon Text"/>
    <w:basedOn w:val="Normal"/>
    <w:link w:val="BallongtextChar"/>
    <w:uiPriority w:val="99"/>
    <w:semiHidden/>
    <w:unhideWhenUsed/>
    <w:rsid w:val="00452CD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52CD4"/>
    <w:rPr>
      <w:rFonts w:ascii="Segoe UI" w:hAnsi="Segoe UI" w:cs="Segoe UI"/>
      <w:sz w:val="18"/>
      <w:szCs w:val="18"/>
    </w:rPr>
  </w:style>
  <w:style w:type="paragraph" w:styleId="Liststycke">
    <w:name w:val="List Paragraph"/>
    <w:basedOn w:val="Normal"/>
    <w:uiPriority w:val="34"/>
    <w:qFormat/>
    <w:rsid w:val="008145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2306</Characters>
  <Application>Microsoft Office Word</Application>
  <DocSecurity>0</DocSecurity>
  <Lines>19</Lines>
  <Paragraphs>5</Paragraphs>
  <ScaleCrop>false</ScaleCrop>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Jansson</dc:creator>
  <cp:keywords/>
  <dc:description/>
  <cp:lastModifiedBy>Fredrik Jansson</cp:lastModifiedBy>
  <cp:revision>36</cp:revision>
  <dcterms:created xsi:type="dcterms:W3CDTF">2021-06-02T06:42:00Z</dcterms:created>
  <dcterms:modified xsi:type="dcterms:W3CDTF">2021-12-21T08:08:00Z</dcterms:modified>
</cp:coreProperties>
</file>